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University of Central Oklahoma Student Congress</w:t>
      </w:r>
      <w:r w:rsidDel="00000000" w:rsidR="00000000" w:rsidRPr="00000000">
        <w:rPr>
          <w:rtl w:val="0"/>
        </w:rPr>
      </w:r>
    </w:p>
    <w:p w:rsidR="00000000" w:rsidDel="00000000" w:rsidP="00000000" w:rsidRDefault="00000000" w:rsidRPr="00000000" w14:paraId="00000002">
      <w:pPr>
        <w:spacing w:line="259"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th Meeting of the Spring Session of the 24th Legislature</w:t>
      </w:r>
      <w:r w:rsidDel="00000000" w:rsidR="00000000" w:rsidRPr="00000000">
        <w:rPr>
          <w:rtl w:val="0"/>
        </w:rPr>
      </w:r>
    </w:p>
    <w:p w:rsidR="00000000" w:rsidDel="00000000" w:rsidP="00000000" w:rsidRDefault="00000000" w:rsidRPr="00000000" w14:paraId="00000003">
      <w:pPr>
        <w:tabs>
          <w:tab w:val="right" w:pos="9360"/>
        </w:tabs>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pos="4800"/>
          <w:tab w:val="right" w:pos="9360"/>
        </w:tabs>
        <w:spacing w:line="259" w:lineRule="auto"/>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rtl w:val="0"/>
        </w:rPr>
        <w:t xml:space="preserve">CR21-204</w:t>
        <w:tab/>
        <w:tab/>
        <w:t xml:space="preserve">Co-Authors: Senator Chao, Senator Owens</w:t>
      </w:r>
      <w:r w:rsidDel="00000000" w:rsidR="00000000" w:rsidRPr="00000000">
        <w:rPr>
          <w:rtl w:val="0"/>
        </w:rPr>
      </w:r>
    </w:p>
    <w:p w:rsidR="00000000" w:rsidDel="00000000" w:rsidP="00000000" w:rsidRDefault="00000000" w:rsidRPr="00000000" w14:paraId="00000005">
      <w:pPr>
        <w:tabs>
          <w:tab w:val="right" w:pos="9360"/>
        </w:tabs>
        <w:spacing w:line="259"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right" w:pos="9360"/>
        </w:tabs>
        <w:spacing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INTRODUCED</w:t>
      </w:r>
    </w:p>
    <w:p w:rsidR="00000000" w:rsidDel="00000000" w:rsidP="00000000" w:rsidRDefault="00000000" w:rsidRPr="00000000" w14:paraId="00000007">
      <w:pPr>
        <w:tabs>
          <w:tab w:val="right" w:pos="9360"/>
        </w:tabs>
        <w:spacing w:line="259"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right" w:pos="9360"/>
        </w:tabs>
        <w:spacing w:line="259"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 resolution urging the Office of Housing and Dining to reassess their current policies regarding Dining Dollar expiration at the end of an academic year, and providing an alternative solution. </w:t>
      </w:r>
      <w:r w:rsidDel="00000000" w:rsidR="00000000" w:rsidRPr="00000000">
        <w:rPr>
          <w:rtl w:val="0"/>
        </w:rPr>
      </w:r>
    </w:p>
    <w:p w:rsidR="00000000" w:rsidDel="00000000" w:rsidP="00000000" w:rsidRDefault="00000000" w:rsidRPr="00000000" w14:paraId="00000009">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WHEREAS,</w:t>
        <w:tab/>
        <w:t xml:space="preserve">Currently, all unused Dining Dollars expire at the end of each academic year, regardless of balance remaining, and</w:t>
      </w:r>
      <w:r w:rsidDel="00000000" w:rsidR="00000000" w:rsidRPr="00000000">
        <w:rPr>
          <w:rtl w:val="0"/>
        </w:rPr>
      </w:r>
    </w:p>
    <w:p w:rsidR="00000000" w:rsidDel="00000000" w:rsidP="00000000" w:rsidRDefault="00000000" w:rsidRPr="00000000" w14:paraId="0000000B">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C">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WHEREAS,</w:t>
        <w:tab/>
        <w:t xml:space="preserve">Due to COVID-19 and various weather events, a large portion of the Spring 2021 semester was conducted virtually with little campus dining options open, and</w:t>
      </w:r>
      <w:r w:rsidDel="00000000" w:rsidR="00000000" w:rsidRPr="00000000">
        <w:rPr>
          <w:rtl w:val="0"/>
        </w:rPr>
      </w:r>
    </w:p>
    <w:p w:rsidR="00000000" w:rsidDel="00000000" w:rsidP="00000000" w:rsidRDefault="00000000" w:rsidRPr="00000000" w14:paraId="0000000D">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Many students have expressed frustration with this dining policy, as they are not able to adequately use up all of the dining dollars by the end of the semester, and  </w:t>
      </w:r>
    </w:p>
    <w:p w:rsidR="00000000" w:rsidDel="00000000" w:rsidP="00000000" w:rsidRDefault="00000000" w:rsidRPr="00000000" w14:paraId="0000000F">
      <w:pPr>
        <w:tabs>
          <w:tab w:val="left" w:pos="1440"/>
          <w:tab w:val="right" w:pos="9360"/>
        </w:tabs>
        <w:spacing w:line="259"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Scott Monetti, Director of Housing and Dining, has acknowledged students’ dissatisfaction with current policies and has expressed being open to alternative ideas proposed by the UCO Student Association, whereas</w:t>
      </w:r>
    </w:p>
    <w:p w:rsidR="00000000" w:rsidDel="00000000" w:rsidP="00000000" w:rsidRDefault="00000000" w:rsidRPr="00000000" w14:paraId="00000011">
      <w:pPr>
        <w:tabs>
          <w:tab w:val="left" w:pos="2160"/>
          <w:tab w:val="right" w:pos="9360"/>
        </w:tabs>
        <w:spacing w:line="259" w:lineRule="auto"/>
        <w:ind w:left="216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tabs>
          <w:tab w:val="left" w:pos="2160"/>
          <w:tab w:val="right" w:pos="9360"/>
        </w:tabs>
        <w:spacing w:line="259" w:lineRule="auto"/>
        <w:ind w:left="216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BE IT RESOLVED BY THE UCO STUDENT ASSOCIATION</w:t>
      </w:r>
      <w:r w:rsidDel="00000000" w:rsidR="00000000" w:rsidRPr="00000000">
        <w:rPr>
          <w:rtl w:val="0"/>
        </w:rPr>
      </w:r>
    </w:p>
    <w:p w:rsidR="00000000" w:rsidDel="00000000" w:rsidP="00000000" w:rsidRDefault="00000000" w:rsidRPr="00000000" w14:paraId="00000013">
      <w:pPr>
        <w:tabs>
          <w:tab w:val="left" w:pos="2160"/>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tab/>
        <w:t xml:space="preserve">The UCO Student Association encourages the Office of Housing and Dining to consider the following alterations to current policies:</w:t>
      </w:r>
    </w:p>
    <w:p w:rsidR="00000000" w:rsidDel="00000000" w:rsidP="00000000" w:rsidRDefault="00000000" w:rsidRPr="00000000" w14:paraId="00000015">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tabs>
          <w:tab w:val="left" w:pos="1440"/>
          <w:tab w:val="right" w:pos="9360"/>
        </w:tabs>
        <w:spacing w:line="259"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of Housing and Dining shall remove expiration policies on Dining Dollars, resulting in UCO students that have remaining Dining Dollars at the end of the 2021 spring semester retaining those dining dollars until the next semester. </w:t>
      </w:r>
    </w:p>
    <w:p w:rsidR="00000000" w:rsidDel="00000000" w:rsidP="00000000" w:rsidRDefault="00000000" w:rsidRPr="00000000" w14:paraId="00000017">
      <w:pPr>
        <w:numPr>
          <w:ilvl w:val="0"/>
          <w:numId w:val="1"/>
        </w:numPr>
        <w:tabs>
          <w:tab w:val="left" w:pos="1440"/>
          <w:tab w:val="right" w:pos="9360"/>
        </w:tabs>
        <w:spacing w:line="259"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of Housing and Dining shall adopt a new policy setting in place scenarios in which students could have their Dining Dollars reimbursed, including but not limited to: graduating, moving off campus, or transferring colleges. </w:t>
      </w:r>
      <w:r w:rsidDel="00000000" w:rsidR="00000000" w:rsidRPr="00000000">
        <w:rPr>
          <w:rtl w:val="0"/>
        </w:rPr>
      </w:r>
    </w:p>
    <w:p w:rsidR="00000000" w:rsidDel="00000000" w:rsidP="00000000" w:rsidRDefault="00000000" w:rsidRPr="00000000" w14:paraId="00000018">
      <w:pPr>
        <w:tabs>
          <w:tab w:val="left" w:pos="2160"/>
          <w:tab w:val="right" w:pos="9360"/>
        </w:tabs>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Section 2.</w:t>
        <w:tab/>
        <w:t xml:space="preserve">This legislation shall be distributed to the following:</w:t>
      </w:r>
      <w:r w:rsidDel="00000000" w:rsidR="00000000" w:rsidRPr="00000000">
        <w:rPr>
          <w:rtl w:val="0"/>
        </w:rPr>
      </w:r>
    </w:p>
    <w:p w:rsidR="00000000" w:rsidDel="00000000" w:rsidP="00000000" w:rsidRDefault="00000000" w:rsidRPr="00000000" w14:paraId="0000001A">
      <w:pPr>
        <w:tabs>
          <w:tab w:val="left" w:pos="2160"/>
          <w:tab w:val="right" w:pos="9360"/>
        </w:tabs>
        <w:spacing w:line="259" w:lineRule="auto"/>
        <w:ind w:left="2160" w:hanging="72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tabs>
          <w:tab w:val="left" w:pos="2160"/>
          <w:tab w:val="right" w:pos="9360"/>
        </w:tabs>
        <w:spacing w:line="259" w:lineRule="auto"/>
        <w:ind w:left="216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Monetti</w:t>
      </w:r>
      <w:r w:rsidDel="00000000" w:rsidR="00000000" w:rsidRPr="00000000">
        <w:rPr>
          <w:rFonts w:ascii="Times New Roman" w:cs="Times New Roman" w:eastAsia="Times New Roman" w:hAnsi="Times New Roman"/>
          <w:rtl w:val="0"/>
        </w:rPr>
        <w:t xml:space="preserve">, Director of Housing and Dining</w:t>
      </w:r>
    </w:p>
    <w:p w:rsidR="00000000" w:rsidDel="00000000" w:rsidP="00000000" w:rsidRDefault="00000000" w:rsidRPr="00000000" w14:paraId="0000001C">
      <w:pPr>
        <w:tabs>
          <w:tab w:val="left" w:pos="2160"/>
          <w:tab w:val="right" w:pos="9360"/>
        </w:tabs>
        <w:spacing w:line="259" w:lineRule="auto"/>
        <w:ind w:left="2160" w:hanging="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Todd Nixon, Senior Director of Retail Dining</w:t>
      </w:r>
      <w:r w:rsidDel="00000000" w:rsidR="00000000" w:rsidRPr="00000000">
        <w:rPr>
          <w:rtl w:val="0"/>
        </w:rPr>
      </w:r>
    </w:p>
    <w:p w:rsidR="00000000" w:rsidDel="00000000" w:rsidP="00000000" w:rsidRDefault="00000000" w:rsidRPr="00000000" w14:paraId="0000001D">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E">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Reviewing Committee(s):</w:t>
        <w:tab/>
        <w:t xml:space="preserve">Campus Development</w:t>
      </w:r>
      <w:r w:rsidDel="00000000" w:rsidR="00000000" w:rsidRPr="00000000">
        <w:rPr>
          <w:rtl w:val="0"/>
        </w:rPr>
      </w:r>
    </w:p>
    <w:p w:rsidR="00000000" w:rsidDel="00000000" w:rsidP="00000000" w:rsidRDefault="00000000" w:rsidRPr="00000000" w14:paraId="0000001F">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0">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Committee Recommendation:</w:t>
        <w:tab/>
        <w:t xml:space="preserve">DO PASS </w:t>
      </w:r>
      <w:r w:rsidDel="00000000" w:rsidR="00000000" w:rsidRPr="00000000">
        <w:rPr>
          <w:rtl w:val="0"/>
        </w:rPr>
      </w:r>
    </w:p>
    <w:p w:rsidR="00000000" w:rsidDel="00000000" w:rsidP="00000000" w:rsidRDefault="00000000" w:rsidRPr="00000000" w14:paraId="00000021">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Action Taken by Congress:</w:t>
        <w:tab/>
        <w:t xml:space="preserve">[ PASSED / FAILED ]</w:t>
      </w:r>
      <w:r w:rsidDel="00000000" w:rsidR="00000000" w:rsidRPr="00000000">
        <w:rPr>
          <w:rtl w:val="0"/>
        </w:rPr>
      </w:r>
    </w:p>
    <w:p w:rsidR="00000000" w:rsidDel="00000000" w:rsidP="00000000" w:rsidRDefault="00000000" w:rsidRPr="00000000" w14:paraId="00000023">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4">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6">
      <w:pPr>
        <w:tabs>
          <w:tab w:val="left" w:pos="1440"/>
          <w:tab w:val="right" w:pos="9360"/>
        </w:tabs>
        <w:spacing w:line="259" w:lineRule="auto"/>
        <w:jc w:val="both"/>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c>
          <w:tcPr>
            <w:tcBorders>
              <w:top w:color="000000" w:space="0" w:sz="4" w:val="single"/>
              <w:bottom w:color="000000" w:space="0" w:sz="4" w:val="single"/>
            </w:tcBorders>
          </w:tcPr>
          <w:p w:rsidR="00000000" w:rsidDel="00000000" w:rsidP="00000000" w:rsidRDefault="00000000" w:rsidRPr="00000000" w14:paraId="00000027">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De Shannon, Chair of the UCO Student Congress</w:t>
              <w:tab/>
              <w:t xml:space="preserve">Date</w:t>
            </w:r>
            <w:r w:rsidDel="00000000" w:rsidR="00000000" w:rsidRPr="00000000">
              <w:rPr>
                <w:rtl w:val="0"/>
              </w:rPr>
            </w:r>
          </w:p>
          <w:p w:rsidR="00000000" w:rsidDel="00000000" w:rsidP="00000000" w:rsidRDefault="00000000" w:rsidRPr="00000000" w14:paraId="00000028">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2C">
            <w:pPr>
              <w:tabs>
                <w:tab w:val="left" w:pos="1440"/>
                <w:tab w:val="right" w:pos="9360"/>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James Limbaugh, President of the UCO Student Association</w:t>
              <w:tab/>
              <w:t xml:space="preserve">Date</w:t>
            </w:r>
            <w:r w:rsidDel="00000000" w:rsidR="00000000" w:rsidRPr="00000000">
              <w:rPr>
                <w:rtl w:val="0"/>
              </w:rPr>
            </w:r>
          </w:p>
        </w:tc>
      </w:tr>
    </w:tbl>
    <w:p w:rsidR="00000000" w:rsidDel="00000000" w:rsidP="00000000" w:rsidRDefault="00000000" w:rsidRPr="00000000" w14:paraId="0000002D">
      <w:pPr>
        <w:tabs>
          <w:tab w:val="right" w:pos="9360"/>
        </w:tabs>
        <w:spacing w:line="259"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tabs>
          <w:tab w:val="right" w:pos="9360"/>
        </w:tabs>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Legislative Override:</w:t>
        <w:tab/>
        <w:t xml:space="preserve">[ OVERRIDDEN / NOT OVERRIDDEN / POCKET APPROVAL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